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853D8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53D8F" w:rsidRPr="00853D8F">
              <w:rPr>
                <w:rFonts w:asciiTheme="majorHAnsi" w:hAnsiTheme="majorHAnsi" w:cs="Arial"/>
                <w:b/>
                <w:sz w:val="18"/>
                <w:szCs w:val="18"/>
              </w:rPr>
              <w:t>BIOLOGY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967A40">
                    <w:rPr>
                      <w:rFonts w:asciiTheme="majorHAnsi" w:hAnsiTheme="majorHAnsi" w:cs="Arial"/>
                      <w:b/>
                      <w:sz w:val="18"/>
                      <w:szCs w:val="18"/>
                    </w:rPr>
                  </w:r>
                  <w:r w:rsidR="00967A40">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C907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90798">
              <w:rPr>
                <w:rFonts w:asciiTheme="majorHAnsi" w:hAnsiTheme="majorHAnsi"/>
                <w:b/>
                <w:sz w:val="18"/>
                <w:szCs w:val="18"/>
              </w:rPr>
              <w:t>56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53D8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C907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6</w:t>
            </w:r>
            <w:r w:rsidR="00C90798">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53D8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Pr>
                <w:rFonts w:asciiTheme="majorHAnsi" w:hAnsiTheme="majorHAnsi" w:cs="Arial"/>
                <w:b/>
                <w:sz w:val="18"/>
                <w:szCs w:val="18"/>
              </w:rPr>
              <w:t>120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FB72E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72E0">
              <w:rPr>
                <w:rFonts w:asciiTheme="majorHAnsi" w:hAnsiTheme="majorHAnsi" w:cs="Arial"/>
                <w:b/>
                <w:sz w:val="18"/>
                <w:szCs w:val="18"/>
              </w:rPr>
              <w:t xml:space="preserve">Faculty of Natural Sciences and Matemetics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6612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B72E0">
              <w:rPr>
                <w:rFonts w:asciiTheme="majorHAnsi" w:hAnsiTheme="majorHAnsi" w:cs="Arial"/>
                <w:b/>
                <w:sz w:val="18"/>
                <w:szCs w:val="18"/>
              </w:rPr>
              <w:t xml:space="preserve">Chemistry/ </w:t>
            </w:r>
            <w:r w:rsidR="00C66122">
              <w:rPr>
                <w:rFonts w:asciiTheme="majorHAnsi" w:hAnsiTheme="majorHAnsi" w:cs="Arial"/>
                <w:b/>
                <w:sz w:val="18"/>
                <w:szCs w:val="18"/>
              </w:rPr>
              <w:t>Applied chemistry; Education in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sidRPr="00853D8F">
              <w:rPr>
                <w:rFonts w:asciiTheme="majorHAnsi" w:hAnsiTheme="majorHAnsi" w:cs="Arial"/>
                <w:b/>
                <w:sz w:val="18"/>
                <w:szCs w:val="18"/>
              </w:rPr>
              <w:t xml:space="preserve">dr.sci Hajrija Hamidović, associate professor.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sidRPr="00853D8F">
              <w:rPr>
                <w:rFonts w:asciiTheme="majorHAnsi" w:hAnsiTheme="majorHAnsi" w:cs="Arial"/>
                <w:b/>
                <w:sz w:val="18"/>
                <w:szCs w:val="18"/>
              </w:rPr>
              <w:t xml:space="preserve">The aim of the course is for students to acquire knowledge of the structure and functional organization of the human cell and organism, the organization of the genome and mechanisms of gene expression, cytotoxic and genotoxic factors, and the types of mutations they cause in the genome; methods used for detecting cytotoxic and genotoxic effects; the basic </w:t>
            </w:r>
            <w:r w:rsidR="00853D8F" w:rsidRPr="00853D8F">
              <w:rPr>
                <w:rFonts w:asciiTheme="majorHAnsi" w:hAnsiTheme="majorHAnsi" w:cs="Arial"/>
                <w:b/>
                <w:sz w:val="18"/>
                <w:szCs w:val="18"/>
              </w:rPr>
              <w:lastRenderedPageBreak/>
              <w:t xml:space="preserve">mechanisms of genotoxicological action, as well as possibilities for detecting consequences and assessing the risks of exposure to various genotoxicants.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sidRPr="00853D8F">
              <w:rPr>
                <w:rFonts w:asciiTheme="majorHAnsi" w:hAnsiTheme="majorHAnsi" w:cs="Arial"/>
                <w:b/>
                <w:sz w:val="18"/>
                <w:szCs w:val="18"/>
              </w:rPr>
              <w:t xml:space="preserve"> After attending and successfully completing the course, students will understand the relationship between the living and non-living world, acquire knowledge about the basic life processes that take place within the cell, which will enable them to understand life processes at the organism level, understand the organization of genetic material, become familiar with the most common mutagenic factors, the consequences of their action, and the possibility of repair, learn about the methods used to detect cytotoxic and genotoxic effects of mutagenic factors, as well as methods applied to assess the risks of exposure to various genotoxicants.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03FFA" w:rsidRPr="00D03FFA" w:rsidRDefault="006D5B9B" w:rsidP="00D03FF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03FFA" w:rsidRPr="00D03FFA">
              <w:rPr>
                <w:rFonts w:asciiTheme="majorHAnsi" w:hAnsiTheme="majorHAnsi" w:cs="Arial"/>
                <w:b/>
                <w:sz w:val="18"/>
                <w:szCs w:val="18"/>
              </w:rPr>
              <w:t xml:space="preserve">Introduction to cell biology; methods in cell biology; basic plan of cell structure; prokaryotic and eukaryotic cells; chemical composition of cells; cell membrane biology; intercellular interactions; organization of the cell and its organelles; cytoskeleton and cell motility; cell signaling: communication between cells and their environment; cell organelles and their functions; energy flow in the cell; cellular respiration; photosynthesis; cell nucleus and chromosomes, DNA replication; genetic code, transcription and translation of genetic information; cell division: mitosis and meiosis; organization and life of plants; organization and life of animals. </w:t>
            </w:r>
          </w:p>
          <w:p w:rsidR="00D03FFA" w:rsidRPr="00D03FFA" w:rsidRDefault="00D03FFA" w:rsidP="00D03FFA">
            <w:pPr>
              <w:pStyle w:val="NoSpacing"/>
              <w:rPr>
                <w:rFonts w:asciiTheme="majorHAnsi" w:hAnsiTheme="majorHAnsi" w:cs="Arial"/>
                <w:b/>
                <w:sz w:val="18"/>
                <w:szCs w:val="18"/>
              </w:rPr>
            </w:pPr>
            <w:r w:rsidRPr="00D03FFA">
              <w:rPr>
                <w:rFonts w:asciiTheme="majorHAnsi" w:hAnsiTheme="majorHAnsi" w:cs="Arial"/>
                <w:b/>
                <w:sz w:val="18"/>
                <w:szCs w:val="18"/>
              </w:rPr>
              <w:t xml:space="preserve">Laboratory exercises are based on the theoretical foundations of cell biology and histology and involve microscopic observation of different cell types and tissue organization. </w:t>
            </w:r>
          </w:p>
          <w:p w:rsidR="00CB72ED" w:rsidRPr="00B96B4F" w:rsidRDefault="00FB48B6" w:rsidP="00D03FFA">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53D8F" w:rsidRPr="00853D8F" w:rsidRDefault="006D5B9B" w:rsidP="00853D8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sidRPr="00853D8F">
              <w:rPr>
                <w:rFonts w:asciiTheme="majorHAnsi" w:hAnsiTheme="majorHAnsi" w:cs="Arial"/>
                <w:b/>
                <w:sz w:val="18"/>
                <w:szCs w:val="18"/>
              </w:rPr>
              <w:t>Teaching Methods in the Course:</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Lectures supported by multimedia tools, incorporating active learning techniques that encourage student participation and discussion; Preparation and oral presentation of group and individual seminar papers;</w:t>
            </w:r>
          </w:p>
          <w:p w:rsidR="00CB72ED" w:rsidRPr="00B96B4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Laboratory exercises designed to provide practical experience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53D8F" w:rsidRPr="00853D8F" w:rsidRDefault="006D5B9B" w:rsidP="00853D8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sidRPr="00853D8F">
              <w:rPr>
                <w:rFonts w:asciiTheme="majorHAnsi" w:hAnsiTheme="majorHAnsi" w:cs="Arial"/>
                <w:b/>
                <w:sz w:val="18"/>
                <w:szCs w:val="18"/>
              </w:rPr>
              <w:t>Midterm Examinations: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In Week 8, students take a written test covering the material presented in the first half of the course. The test includes multiple-choice questions, short-answer questions, essay-style questions, and images/schemes of specific processes. The maximum score is 15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In Week 13, students take a second written test covering material from the second half of the course. The test format is identical to the first midterm. The maximum score is 15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Both midterm tests are taken simultaneously by all students, ensuring uniform assessment conditions and a consistent standard of knowledge evaluation.</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Seminar Paper:</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As part of continuous assessment, students are required to complete an individual or group seminar paper on a selected topic from the course content. The paper must be submitted in written form for review and grading by the instructor, followed by an oral presentation. In group work, all members must participate in both preparation and presentation, and individual contributions are assessed separately. A maximum of 5 points can be earned for the seminar paper and presentation.</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Laboratory Work:</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Laboratory assessment is conducted at the end of the semester. Students can earn up to 10 points based on their performance.</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Class Participation:</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Continuous attendance and active participation in lectures and laboratory exercises throughout the semester are rewarded with up to 5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Final Examination:</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The final exam may be written or oral and is open to all students. The maximum score is 50 points, with a minimum of 25 points required to pass the final exam.</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Overall Requirements: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To successfully complete the course, a student must achieve a minimum of 55 cumulative points, including at least 25 points on the final exam.</w:t>
            </w:r>
          </w:p>
          <w:p w:rsidR="00CB72ED" w:rsidRPr="00B96B4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All forms of assessment are cumulative, provided the student achieves a positive result (≥50%) in each component.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53D8F" w:rsidRPr="00853D8F" w:rsidRDefault="006D5B9B" w:rsidP="00853D8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53D8F" w:rsidRPr="00853D8F">
              <w:rPr>
                <w:rFonts w:asciiTheme="majorHAnsi" w:hAnsiTheme="majorHAnsi" w:cs="Arial"/>
                <w:b/>
                <w:sz w:val="18"/>
                <w:szCs w:val="18"/>
              </w:rPr>
              <w:t>Grading Scale</w:t>
            </w:r>
          </w:p>
          <w:p w:rsidR="00853D8F" w:rsidRPr="00853D8F" w:rsidRDefault="00853D8F" w:rsidP="00853D8F">
            <w:pPr>
              <w:pStyle w:val="NoSpacing"/>
              <w:rPr>
                <w:rFonts w:asciiTheme="majorHAnsi" w:hAnsiTheme="majorHAnsi" w:cs="Arial"/>
                <w:b/>
                <w:sz w:val="18"/>
                <w:szCs w:val="18"/>
              </w:rPr>
            </w:pP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&lt;55 points:      Fail (5 / F) </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55–64 points: Pass (6 / E–D) </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65–74 points: Good (7 / D) </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75–84 points: Very Good (8 / C</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lastRenderedPageBreak/>
              <w:t xml:space="preserve">85–94 points: Excellent (9 / B) </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95–100 points: Outstanding (10 / A) </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Summary of Maximum Points by Component</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Test 1: 15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Test 2: 15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Final Examination: 50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Laboratory Work: 10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Seminar Paper: 6 points</w:t>
            </w:r>
          </w:p>
          <w:p w:rsidR="00853D8F" w:rsidRPr="00853D8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Participation and Attendance: 4 points</w:t>
            </w:r>
          </w:p>
          <w:p w:rsidR="00CB72ED" w:rsidRPr="00B96B4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Total: 100 points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53D8F" w:rsidRPr="00853D8F" w:rsidRDefault="006D5B9B" w:rsidP="00853D8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90798">
              <w:rPr>
                <w:rFonts w:asciiTheme="majorHAnsi" w:hAnsiTheme="majorHAnsi" w:cs="Arial"/>
                <w:b/>
                <w:sz w:val="18"/>
                <w:szCs w:val="18"/>
              </w:rPr>
              <w:t>1.</w:t>
            </w:r>
            <w:r w:rsidR="00FB48B6" w:rsidRPr="00B96B4F">
              <w:rPr>
                <w:rFonts w:asciiTheme="majorHAnsi" w:hAnsiTheme="majorHAnsi" w:cs="Arial"/>
                <w:b/>
                <w:sz w:val="18"/>
                <w:szCs w:val="18"/>
              </w:rPr>
              <w:t> </w:t>
            </w:r>
            <w:r w:rsidR="00853D8F" w:rsidRPr="00853D8F">
              <w:rPr>
                <w:rFonts w:asciiTheme="majorHAnsi" w:hAnsiTheme="majorHAnsi" w:cs="Arial"/>
                <w:b/>
                <w:sz w:val="18"/>
                <w:szCs w:val="18"/>
              </w:rPr>
              <w:t xml:space="preserve"> Hercegovac A., Hodžić S., Halilović E. Osnovi biologije. Tuzla, Soleri, 2016.</w:t>
            </w:r>
          </w:p>
          <w:p w:rsidR="00CB72ED" w:rsidRPr="00B96B4F" w:rsidRDefault="00853D8F" w:rsidP="00853D8F">
            <w:pPr>
              <w:pStyle w:val="NoSpacing"/>
              <w:rPr>
                <w:rFonts w:asciiTheme="majorHAnsi" w:hAnsiTheme="majorHAnsi" w:cs="Arial"/>
                <w:b/>
                <w:sz w:val="18"/>
                <w:szCs w:val="18"/>
              </w:rPr>
            </w:pPr>
            <w:r w:rsidRPr="00853D8F">
              <w:rPr>
                <w:rFonts w:asciiTheme="majorHAnsi" w:hAnsiTheme="majorHAnsi" w:cs="Arial"/>
                <w:b/>
                <w:sz w:val="18"/>
                <w:szCs w:val="18"/>
              </w:rPr>
              <w:t xml:space="preserve">2.. Avdić A, Hercegovac A. (2024): Osnovi citogenetike, Off -Set Tuzla.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90798" w:rsidRPr="00C90798" w:rsidRDefault="006D5B9B" w:rsidP="00C907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90798" w:rsidRPr="00C90798">
              <w:rPr>
                <w:rFonts w:asciiTheme="majorHAnsi" w:hAnsiTheme="majorHAnsi" w:cs="Arial"/>
                <w:b/>
                <w:sz w:val="18"/>
                <w:szCs w:val="18"/>
              </w:rPr>
              <w:t>3.Lepeduš H., Cesar V., :Osnove biljne histologije I anatomije vegetativnih organa, Osijek  2010.</w:t>
            </w:r>
          </w:p>
          <w:p w:rsidR="00CB72ED" w:rsidRPr="00B96B4F" w:rsidRDefault="00C90798" w:rsidP="00C90798">
            <w:pPr>
              <w:pStyle w:val="NoSpacing"/>
              <w:rPr>
                <w:rFonts w:asciiTheme="majorHAnsi" w:hAnsiTheme="majorHAnsi" w:cs="Arial"/>
                <w:b/>
                <w:sz w:val="18"/>
                <w:szCs w:val="18"/>
              </w:rPr>
            </w:pPr>
            <w:r w:rsidRPr="00C90798">
              <w:rPr>
                <w:rFonts w:asciiTheme="majorHAnsi" w:hAnsiTheme="majorHAnsi" w:cs="Arial"/>
                <w:b/>
                <w:sz w:val="18"/>
                <w:szCs w:val="18"/>
              </w:rPr>
              <w:t xml:space="preserve">4. Treer T., Tucak: Agrarna zoologija, Zagreb, 2004.  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C90798">
              <w:rPr>
                <w:rFonts w:asciiTheme="majorHAnsi" w:hAnsiTheme="majorHAnsi" w:cs="Arial"/>
                <w:b/>
                <w:sz w:val="18"/>
                <w:szCs w:val="18"/>
              </w:rPr>
              <w:fldChar w:fldCharType="begin">
                <w:ffData>
                  <w:name w:val=""/>
                  <w:enabled/>
                  <w:calcOnExit w:val="0"/>
                  <w:textInput>
                    <w:maxLength w:val="17"/>
                  </w:textInput>
                </w:ffData>
              </w:fldChar>
            </w:r>
            <w:r w:rsidR="00FB48B6" w:rsidRPr="00853D8F">
              <w:rPr>
                <w:rFonts w:asciiTheme="majorHAnsi" w:hAnsiTheme="majorHAnsi" w:cs="Arial"/>
                <w:b/>
                <w:sz w:val="18"/>
                <w:szCs w:val="18"/>
              </w:rPr>
              <w:instrText xml:space="preserve"> FORMTEXT </w:instrText>
            </w:r>
            <w:r w:rsidRPr="00C90798">
              <w:rPr>
                <w:rFonts w:asciiTheme="majorHAnsi" w:hAnsiTheme="majorHAnsi" w:cs="Arial"/>
                <w:b/>
                <w:sz w:val="18"/>
                <w:szCs w:val="18"/>
              </w:rPr>
            </w:r>
            <w:r w:rsidRPr="00C90798">
              <w:rPr>
                <w:rFonts w:asciiTheme="majorHAnsi" w:hAnsiTheme="majorHAnsi" w:cs="Arial"/>
                <w:b/>
                <w:sz w:val="18"/>
                <w:szCs w:val="18"/>
              </w:rPr>
              <w:fldChar w:fldCharType="separate"/>
            </w:r>
            <w:r w:rsidR="00FB48B6" w:rsidRPr="00C90798">
              <w:rPr>
                <w:rFonts w:asciiTheme="majorHAnsi" w:hAnsiTheme="majorHAnsi" w:cs="Arial"/>
                <w:b/>
                <w:w w:val="86"/>
                <w:sz w:val="18"/>
                <w:szCs w:val="18"/>
              </w:rPr>
              <w:t> </w:t>
            </w:r>
            <w:r w:rsidR="00853D8F" w:rsidRPr="00C90798">
              <w:rPr>
                <w:rFonts w:asciiTheme="majorHAnsi" w:hAnsiTheme="majorHAnsi" w:cs="Arial"/>
                <w:b/>
                <w:w w:val="86"/>
                <w:sz w:val="18"/>
                <w:szCs w:val="18"/>
              </w:rPr>
              <w:t xml:space="preserve"> 2025/2026  </w:t>
            </w:r>
            <w:r w:rsidR="00FB48B6" w:rsidRPr="00C90798">
              <w:rPr>
                <w:rFonts w:asciiTheme="majorHAnsi" w:hAnsiTheme="majorHAnsi" w:cs="Arial"/>
                <w:b/>
                <w:w w:val="86"/>
                <w:sz w:val="18"/>
                <w:szCs w:val="18"/>
              </w:rPr>
              <w:t>   </w:t>
            </w:r>
            <w:r w:rsidR="00FB48B6" w:rsidRPr="00C90798">
              <w:rPr>
                <w:rFonts w:asciiTheme="majorHAnsi" w:hAnsiTheme="majorHAnsi" w:cs="Arial"/>
                <w:b/>
                <w:spacing w:val="12"/>
                <w:w w:val="86"/>
                <w:sz w:val="18"/>
                <w:szCs w:val="18"/>
              </w:rPr>
              <w:t> </w:t>
            </w:r>
            <w:r w:rsidRPr="00C90798">
              <w:rPr>
                <w:rFonts w:asciiTheme="majorHAnsi" w:hAnsiTheme="majorHAnsi" w:cs="Arial"/>
                <w:b/>
                <w:spacing w:val="12"/>
                <w:w w:val="86"/>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A40" w:rsidRDefault="00967A40">
      <w:pPr>
        <w:spacing w:line="240" w:lineRule="auto"/>
      </w:pPr>
      <w:r>
        <w:separator/>
      </w:r>
    </w:p>
  </w:endnote>
  <w:endnote w:type="continuationSeparator" w:id="0">
    <w:p w:rsidR="00967A40" w:rsidRDefault="00967A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84101">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84101">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84101">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A40" w:rsidRDefault="00967A40">
      <w:pPr>
        <w:spacing w:after="0"/>
      </w:pPr>
      <w:r>
        <w:separator/>
      </w:r>
    </w:p>
  </w:footnote>
  <w:footnote w:type="continuationSeparator" w:id="0">
    <w:p w:rsidR="00967A40" w:rsidRDefault="00967A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84101"/>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53D8F"/>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E679B"/>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67A40"/>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1423"/>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43837"/>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D6297"/>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22"/>
    <w:rsid w:val="00C661AF"/>
    <w:rsid w:val="00C73174"/>
    <w:rsid w:val="00C7743A"/>
    <w:rsid w:val="00C829C1"/>
    <w:rsid w:val="00C84CEC"/>
    <w:rsid w:val="00C8773C"/>
    <w:rsid w:val="00C90798"/>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3FFA"/>
    <w:rsid w:val="00D05D23"/>
    <w:rsid w:val="00D10563"/>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72E0"/>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7BF18E-DC8C-43EE-A403-3E27A69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EB859-5F8A-4668-B6F5-B635A619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2026-03-13T08:04:00Z</dcterms:created>
  <dcterms:modified xsi:type="dcterms:W3CDTF">2026-03-13T08:04:00Z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